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1.НАЗНАЧЕНИЕ</w:t>
      </w:r>
      <w:r/>
    </w:p>
    <w:p>
      <w:pPr>
        <w:pStyle w:val="6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Светильник </w:t>
      </w:r>
      <w:r>
        <w:rPr>
          <w:rFonts w:ascii="Times New Roman" w:hAnsi="Times New Roman" w:cs="Times New Roman"/>
          <w:sz w:val="20"/>
          <w:szCs w:val="20"/>
        </w:rPr>
        <w:t xml:space="preserve">торговой марки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«БСТЗ</w:t>
      </w:r>
      <w:r>
        <w:rPr>
          <w:rFonts w:ascii="Times New Roman" w:hAnsi="Times New Roman" w:cs="Times New Roman"/>
          <w:b/>
          <w:sz w:val="20"/>
          <w:szCs w:val="20"/>
        </w:rPr>
        <w:t xml:space="preserve">»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серии </w:t>
      </w:r>
      <w:r>
        <w:rPr>
          <w:rFonts w:ascii="Times New Roman" w:hAnsi="Times New Roman" w:cs="Times New Roman"/>
          <w:sz w:val="20"/>
          <w:szCs w:val="20"/>
        </w:rPr>
        <w:t xml:space="preserve">Д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C</w:t>
      </w:r>
      <w:r>
        <w:rPr>
          <w:rFonts w:ascii="Times New Roman" w:hAnsi="Times New Roman" w:cs="Times New Roman"/>
          <w:sz w:val="20"/>
          <w:szCs w:val="20"/>
        </w:rPr>
        <w:t xml:space="preserve">П</w:t>
      </w:r>
      <w:r>
        <w:rPr>
          <w:rFonts w:ascii="Times New Roman" w:hAnsi="Times New Roman" w:cs="Times New Roman"/>
          <w:sz w:val="20"/>
          <w:szCs w:val="20"/>
        </w:rPr>
        <w:t xml:space="preserve">, на полупроводниковых источниках света (светодиодах)</w:t>
      </w:r>
      <w:r>
        <w:rPr>
          <w:rFonts w:ascii="Times New Roman" w:hAnsi="Times New Roman" w:cs="Times New Roman"/>
          <w:sz w:val="20"/>
          <w:szCs w:val="20"/>
        </w:rPr>
        <w:t xml:space="preserve"> идеально</w:t>
      </w:r>
      <w:r>
        <w:rPr>
          <w:rFonts w:ascii="Times New Roman" w:hAnsi="Times New Roman" w:cs="Times New Roman"/>
          <w:sz w:val="20"/>
          <w:szCs w:val="20"/>
        </w:rPr>
        <w:t xml:space="preserve"> пре</w:t>
      </w:r>
      <w:r>
        <w:rPr>
          <w:rFonts w:ascii="Times New Roman" w:hAnsi="Times New Roman" w:cs="Times New Roman"/>
          <w:sz w:val="20"/>
          <w:szCs w:val="20"/>
        </w:rPr>
        <w:t xml:space="preserve">дназначены для общего освещения цехов, складов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производственных </w:t>
      </w:r>
      <w:r>
        <w:rPr>
          <w:rFonts w:ascii="Times New Roman" w:hAnsi="Times New Roman" w:cs="Times New Roman"/>
          <w:sz w:val="20"/>
          <w:szCs w:val="20"/>
        </w:rPr>
        <w:t xml:space="preserve">помещений</w:t>
      </w:r>
      <w:r>
        <w:rPr>
          <w:rFonts w:ascii="Times New Roman" w:hAnsi="Times New Roman" w:cs="Times New Roman"/>
          <w:sz w:val="20"/>
          <w:szCs w:val="20"/>
        </w:rPr>
        <w:t xml:space="preserve"> и других объектов</w:t>
      </w:r>
      <w:r>
        <w:rPr>
          <w:rFonts w:ascii="Times New Roman" w:hAnsi="Times New Roman" w:cs="Times New Roman"/>
          <w:sz w:val="20"/>
          <w:szCs w:val="20"/>
        </w:rPr>
        <w:t xml:space="preserve">. Светильники рассчитаны для работы в сети переменного тока с номинальным напряжением 220</w:t>
      </w:r>
      <w:r>
        <w:rPr>
          <w:rFonts w:ascii="Times New Roman" w:hAnsi="Times New Roman" w:cs="Times New Roman"/>
          <w:sz w:val="20"/>
          <w:szCs w:val="20"/>
        </w:rPr>
        <w:t xml:space="preserve">В частотой 50Гц. 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Светильники соответствуют требованиям электромагнитной совместимости по ГОСТ Р 51318.15, ГОСТ Р 51514, РОСТ Р 51317.3.2, ГОСТ Р 51317.3.3 </w:t>
      </w:r>
      <w:r/>
    </w:p>
    <w:p>
      <w:pPr>
        <w:pStyle w:val="63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pStyle w:val="63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2.ТЕХНИЧЕСКИЕ ХАРАКТЕРИСТИКИ</w:t>
      </w:r>
      <w:r/>
    </w:p>
    <w:tbl>
      <w:tblPr>
        <w:tblpPr w:horzAnchor="text" w:tblpXSpec="left" w:vertAnchor="text" w:tblpY="87" w:leftFromText="180" w:topFromText="0" w:rightFromText="180" w:bottomFromText="0"/>
        <w:tblW w:w="762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45"/>
        <w:gridCol w:w="236"/>
        <w:gridCol w:w="53"/>
        <w:gridCol w:w="1134"/>
        <w:gridCol w:w="141"/>
        <w:gridCol w:w="236"/>
        <w:gridCol w:w="1749"/>
        <w:gridCol w:w="992"/>
      </w:tblGrid>
      <w:tr>
        <w:trPr>
          <w:trHeight w:val="3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Световой поток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(Лм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Потребляемая мощность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Габаритный размер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(мм)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Масса светильника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</w:t>
            </w:r>
            <w:r/>
          </w:p>
        </w:tc>
      </w:tr>
      <w:tr>
        <w:trPr>
          <w:trHeight w:val="5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65-УХЛ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-260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х82х90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2,0</w:t>
            </w:r>
            <w:r/>
          </w:p>
        </w:tc>
      </w:tr>
      <w:tr>
        <w:trPr>
          <w:trHeight w:val="5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П-080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65-УХЛ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-260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х82х90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2,4</w:t>
            </w:r>
            <w:r/>
          </w:p>
        </w:tc>
      </w:tr>
      <w:tr>
        <w:trPr>
          <w:trHeight w:val="5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П-100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65-УХЛ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-260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х82х90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2,5</w:t>
            </w:r>
            <w:r/>
          </w:p>
        </w:tc>
      </w:tr>
      <w:tr>
        <w:trPr>
          <w:trHeight w:val="5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П-120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65-УХЛ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-260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х82х90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3,0</w:t>
            </w:r>
            <w:r/>
          </w:p>
        </w:tc>
      </w:tr>
      <w:tr>
        <w:trPr>
          <w:trHeight w:val="5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П-150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65-УХЛ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-260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х82х90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,2</w:t>
            </w:r>
            <w:r/>
          </w:p>
        </w:tc>
      </w:tr>
      <w:tr>
        <w:trPr>
          <w:trHeight w:val="1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Темп. Свечения, К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3000/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4000/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00</w:t>
            </w:r>
            <w:r/>
          </w:p>
        </w:tc>
      </w:tr>
      <w:tr>
        <w:trPr>
          <w:trHeight w:val="1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КСС 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К30°/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/Г90°/Д120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°</w:t>
            </w:r>
            <w:r/>
          </w:p>
        </w:tc>
      </w:tr>
      <w:tr>
        <w:trPr>
          <w:trHeight w:val="1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Коэф. пульсации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,%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&lt;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часов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0 000 </w:t>
            </w:r>
            <w:r/>
          </w:p>
        </w:tc>
      </w:tr>
      <w:tr>
        <w:trPr>
          <w:trHeight w:val="1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Корпус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(материал)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Анодированный алюминий</w:t>
            </w:r>
            <w:r/>
          </w:p>
        </w:tc>
      </w:tr>
      <w:tr>
        <w:trPr>
          <w:trHeight w:val="1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Рассеиватель 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PMMA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УФ-защитой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Светодиоды 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GSLED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Osram</w:t>
            </w:r>
            <w:r/>
          </w:p>
        </w:tc>
      </w:tr>
      <w:tr>
        <w:trPr>
          <w:trHeight w:val="1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Температура эксплуатации в диа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пазоне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0°С до +50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°С</w:t>
            </w:r>
            <w:r/>
          </w:p>
        </w:tc>
      </w:tr>
      <w:tr>
        <w:trPr>
          <w:trHeight w:val="1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Индекс цветопе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редачи,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Ra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&gt;85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Коэффициент мощности,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cos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ϕ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,95</w:t>
            </w:r>
            <w:r/>
          </w:p>
        </w:tc>
      </w:tr>
      <w:tr>
        <w:trPr>
          <w:trHeight w:val="1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Защита от скачков напряжения, В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380</w:t>
            </w:r>
            <w:r/>
          </w:p>
        </w:tc>
      </w:tr>
      <w:tr>
        <w:trPr>
          <w:trHeight w:val="8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Грозозащита от импульсов, В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4000 до 6000</w:t>
            </w:r>
            <w:r/>
          </w:p>
        </w:tc>
      </w:tr>
      <w:tr>
        <w:trPr>
          <w:trHeight w:val="8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Энергоэффективность, Лм/вт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</w:t>
            </w:r>
            <w:r/>
          </w:p>
        </w:tc>
      </w:tr>
    </w:tbl>
    <w:p>
      <w:pPr>
        <w:pStyle w:val="63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3.КОМПЛЕКТНОСТЬ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комплект поставки входит: 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</w:t>
      </w:r>
      <w:r>
        <w:rPr>
          <w:rFonts w:ascii="Times New Roman" w:hAnsi="Times New Roman" w:cs="Times New Roman"/>
          <w:sz w:val="20"/>
          <w:szCs w:val="20"/>
        </w:rPr>
        <w:t xml:space="preserve"> Светильник светодиодный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 xml:space="preserve">1</w:t>
      </w:r>
      <w:r>
        <w:rPr>
          <w:rFonts w:ascii="Times New Roman" w:hAnsi="Times New Roman" w:cs="Times New Roman"/>
          <w:sz w:val="20"/>
          <w:szCs w:val="20"/>
        </w:rPr>
        <w:t xml:space="preserve"> шт.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</w:t>
      </w:r>
      <w:r>
        <w:rPr>
          <w:rFonts w:ascii="Times New Roman" w:hAnsi="Times New Roman" w:cs="Times New Roman"/>
          <w:sz w:val="20"/>
          <w:szCs w:val="20"/>
        </w:rPr>
        <w:t xml:space="preserve">2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t xml:space="preserve"> Упаковка -</w:t>
      </w:r>
      <w:r>
        <w:rPr>
          <w:rFonts w:ascii="Times New Roman" w:hAnsi="Times New Roman" w:cs="Times New Roman"/>
          <w:sz w:val="20"/>
          <w:szCs w:val="20"/>
        </w:rPr>
        <w:t xml:space="preserve">1</w:t>
      </w:r>
      <w:r>
        <w:rPr>
          <w:rFonts w:ascii="Times New Roman" w:hAnsi="Times New Roman" w:cs="Times New Roman"/>
          <w:sz w:val="20"/>
          <w:szCs w:val="20"/>
        </w:rPr>
        <w:t xml:space="preserve"> шт. </w:t>
      </w:r>
      <w:r/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</w:t>
      </w:r>
      <w:r>
        <w:rPr>
          <w:rFonts w:ascii="Times New Roman" w:hAnsi="Times New Roman" w:cs="Times New Roman"/>
          <w:sz w:val="20"/>
          <w:szCs w:val="20"/>
        </w:rPr>
        <w:t xml:space="preserve">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Паспорт - 1 шт.</w:t>
      </w:r>
      <w:r/>
    </w:p>
    <w:p>
      <w:pPr>
        <w:pStyle w:val="63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ТРЕБОВАНИЯ ПО МОНТАЖУ И ЭКСПЛУАТАЦИИ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</w:t>
      </w:r>
      <w:r>
        <w:rPr>
          <w:rFonts w:ascii="Times New Roman" w:hAnsi="Times New Roman" w:cs="Times New Roman"/>
          <w:sz w:val="20"/>
          <w:szCs w:val="20"/>
        </w:rPr>
        <w:t xml:space="preserve">1.</w:t>
      </w:r>
      <w:r>
        <w:rPr>
          <w:rFonts w:ascii="Times New Roman" w:hAnsi="Times New Roman" w:cs="Times New Roman"/>
          <w:sz w:val="20"/>
          <w:szCs w:val="20"/>
        </w:rPr>
        <w:t xml:space="preserve"> Монтаж</w:t>
      </w:r>
      <w:r>
        <w:rPr>
          <w:rFonts w:ascii="Times New Roman" w:hAnsi="Times New Roman" w:cs="Times New Roman"/>
          <w:sz w:val="20"/>
          <w:szCs w:val="20"/>
        </w:rPr>
        <w:t xml:space="preserve"> и эксплуатация светильника должна производиться в соответствии с паспортом на изделие, а также «Правилами технической эксплуатации электроустановок потребителей».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</w:t>
      </w:r>
      <w:r>
        <w:rPr>
          <w:rFonts w:ascii="Times New Roman" w:hAnsi="Times New Roman" w:cs="Times New Roman"/>
          <w:sz w:val="20"/>
          <w:szCs w:val="20"/>
        </w:rPr>
        <w:t xml:space="preserve"> Все работы по монтажу, замене, подключению светильника должны проводиться только при отключенном питающем напряжении.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</w:t>
      </w:r>
      <w:r>
        <w:rPr>
          <w:rFonts w:ascii="Times New Roman" w:hAnsi="Times New Roman" w:cs="Times New Roman"/>
          <w:sz w:val="20"/>
          <w:szCs w:val="20"/>
        </w:rPr>
        <w:t xml:space="preserve"> При подключении проводов питания к светильнику необходимо обеспечить степень защиты соединения не ниже степени защиты светильника.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</w:t>
      </w:r>
      <w:r>
        <w:rPr>
          <w:rFonts w:ascii="Times New Roman" w:hAnsi="Times New Roman" w:cs="Times New Roman"/>
          <w:sz w:val="20"/>
          <w:szCs w:val="20"/>
        </w:rPr>
        <w:t xml:space="preserve"> Перед вводом в эксплуатацию светильник должен быть заземлен, характеристики заземления должны соответствовать ГОСТ 12.1.030. 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</w:t>
      </w:r>
      <w:r>
        <w:rPr>
          <w:rFonts w:ascii="Times New Roman" w:hAnsi="Times New Roman" w:cs="Times New Roman"/>
          <w:sz w:val="20"/>
          <w:szCs w:val="20"/>
        </w:rPr>
        <w:t xml:space="preserve">5.</w:t>
      </w:r>
      <w:r>
        <w:rPr>
          <w:rFonts w:ascii="Times New Roman" w:hAnsi="Times New Roman" w:cs="Times New Roman"/>
          <w:sz w:val="20"/>
          <w:szCs w:val="20"/>
        </w:rPr>
        <w:t xml:space="preserve"> Проектной</w:t>
      </w:r>
      <w:r>
        <w:rPr>
          <w:rFonts w:ascii="Times New Roman" w:hAnsi="Times New Roman" w:cs="Times New Roman"/>
          <w:sz w:val="20"/>
          <w:szCs w:val="20"/>
        </w:rPr>
        <w:t xml:space="preserve"> позицией (нормальным рабочим положением) светильника является положение, при котором его световой поток обращен в нижнюю полусферу.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4.6.</w:t>
      </w:r>
      <w:r>
        <w:rPr>
          <w:rFonts w:ascii="Times New Roman" w:hAnsi="Times New Roman" w:cs="Times New Roman"/>
          <w:sz w:val="20"/>
          <w:szCs w:val="20"/>
        </w:rPr>
        <w:t xml:space="preserve"> При эксплуатации светильника его положение должно быть отрегулировано таким образом, чтобы глаз наблюдателя был максимально защищен от слепящего воздействия.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4.7.</w:t>
      </w:r>
      <w:r>
        <w:rPr>
          <w:rFonts w:ascii="Times New Roman" w:hAnsi="Times New Roman" w:cs="Times New Roman"/>
          <w:sz w:val="20"/>
          <w:szCs w:val="20"/>
        </w:rPr>
        <w:t xml:space="preserve"> Эксплуатация светильника с поврежденным рассеивателем не допускается.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4.8.</w:t>
      </w:r>
      <w:r>
        <w:rPr>
          <w:rFonts w:ascii="Times New Roman" w:hAnsi="Times New Roman" w:cs="Times New Roman"/>
          <w:sz w:val="20"/>
          <w:szCs w:val="20"/>
        </w:rPr>
        <w:t xml:space="preserve"> Не допускается эксплуатация светильника с поврежденной изоляцией проводов. </w:t>
      </w:r>
      <w:r>
        <w:rPr>
          <w:rFonts w:ascii="Times New Roman" w:hAnsi="Times New Roman" w:cs="Times New Roman"/>
          <w:sz w:val="20"/>
          <w:szCs w:val="20"/>
        </w:rPr>
        <w:t xml:space="preserve">4.9 </w:t>
      </w:r>
      <w:r>
        <w:rPr>
          <w:rFonts w:ascii="Times New Roman" w:hAnsi="Times New Roman" w:cs="Times New Roman"/>
          <w:sz w:val="20"/>
          <w:szCs w:val="20"/>
        </w:rPr>
        <w:t xml:space="preserve">Нормы качества электроэнергии должны соответствовать требованиям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ГОСТ 32144-2013.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4.10. Тип крепления: подвесное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поворотный кронштейн</w:t>
      </w:r>
      <w:r>
        <w:rPr>
          <w:rFonts w:ascii="Times New Roman" w:hAnsi="Times New Roman" w:cs="Times New Roman"/>
          <w:sz w:val="20"/>
          <w:szCs w:val="20"/>
        </w:rPr>
        <w:t xml:space="preserve">).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Рекомендуется применять при высоте подвеса от </w:t>
      </w:r>
      <w:r>
        <w:rPr>
          <w:rFonts w:ascii="Times New Roman" w:hAnsi="Times New Roman" w:cs="Times New Roman"/>
          <w:bCs/>
          <w:sz w:val="20"/>
          <w:szCs w:val="20"/>
        </w:rPr>
        <w:t xml:space="preserve">4 </w:t>
      </w:r>
      <w:r>
        <w:rPr>
          <w:rFonts w:ascii="Times New Roman" w:hAnsi="Times New Roman" w:cs="Times New Roman"/>
          <w:bCs/>
          <w:sz w:val="20"/>
          <w:szCs w:val="20"/>
        </w:rPr>
        <w:t xml:space="preserve">до </w:t>
      </w:r>
      <w:r>
        <w:rPr>
          <w:rFonts w:ascii="Times New Roman" w:hAnsi="Times New Roman" w:cs="Times New Roman"/>
          <w:bCs/>
          <w:sz w:val="20"/>
          <w:szCs w:val="20"/>
        </w:rPr>
        <w:t xml:space="preserve">18</w:t>
      </w:r>
      <w:r>
        <w:rPr>
          <w:rFonts w:ascii="Times New Roman" w:hAnsi="Times New Roman" w:cs="Times New Roman"/>
          <w:bCs/>
          <w:sz w:val="20"/>
          <w:szCs w:val="20"/>
        </w:rPr>
        <w:t xml:space="preserve"> метров.</w:t>
      </w:r>
      <w:r/>
    </w:p>
    <w:p>
      <w:pPr>
        <w:pStyle w:val="63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pStyle w:val="63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ТРЕБОВАНИЯ ПО ТЕХНИКЕ БЕЗОПАСНОСТИ</w:t>
      </w:r>
      <w:r>
        <w:rPr>
          <w:rFonts w:ascii="Times New Roman" w:hAnsi="Times New Roman" w:cs="Times New Roman"/>
          <w:b/>
          <w:bCs/>
        </w:rPr>
        <w:t xml:space="preserve"> </w:t>
      </w:r>
      <w:r/>
    </w:p>
    <w:p>
      <w:pPr>
        <w:pStyle w:val="63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5.1. </w:t>
      </w:r>
      <w:r>
        <w:rPr>
          <w:rFonts w:ascii="Times New Roman" w:hAnsi="Times New Roman" w:cs="Times New Roman"/>
          <w:bCs/>
          <w:sz w:val="20"/>
          <w:szCs w:val="20"/>
        </w:rPr>
        <w:t xml:space="preserve">Для исключения поражения электрическим током светильник 1 класса защиты должен быть заземлен.</w:t>
      </w:r>
      <w:r/>
    </w:p>
    <w:p>
      <w:pPr>
        <w:pStyle w:val="63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5.2. Эксплуатация изделий с поврежденной изоляцией проводов и мест электрических соединений запрещена.</w:t>
      </w:r>
      <w:r/>
    </w:p>
    <w:p>
      <w:pPr>
        <w:pStyle w:val="63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5.3. Подключение светильника и устранение неисправностей </w:t>
      </w:r>
      <w:r>
        <w:rPr>
          <w:rFonts w:ascii="Times New Roman" w:hAnsi="Times New Roman" w:cs="Times New Roman"/>
          <w:bCs/>
          <w:sz w:val="20"/>
          <w:szCs w:val="20"/>
        </w:rPr>
        <w:t xml:space="preserve">разрешается производить</w:t>
      </w:r>
      <w:r>
        <w:rPr>
          <w:rFonts w:ascii="Times New Roman" w:hAnsi="Times New Roman" w:cs="Times New Roman"/>
          <w:bCs/>
          <w:sz w:val="20"/>
          <w:szCs w:val="20"/>
        </w:rPr>
        <w:t xml:space="preserve"> только при отключенном электропитании.</w:t>
      </w:r>
      <w:r/>
    </w:p>
    <w:p>
      <w:pPr>
        <w:pStyle w:val="63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5.4. Электрическая сеть, питающая светильник, должна быть защищена от возникновения импульсных перенапряжений, согласно ГОСТ Р 51992-2002 (МЭК 61643</w:t>
      </w:r>
      <w:r>
        <w:rPr>
          <w:rFonts w:ascii="Times New Roman" w:hAnsi="Times New Roman" w:cs="Times New Roman"/>
          <w:bCs/>
          <w:sz w:val="20"/>
          <w:szCs w:val="20"/>
        </w:rPr>
        <w:t xml:space="preserve">-1-98).</w:t>
      </w:r>
      <w:r/>
    </w:p>
    <w:p>
      <w:pPr>
        <w:pStyle w:val="63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5.5. Запрещается использовать кабель электропитания для подъема изделий или других, не предусмотренных назначением изделия целей.</w:t>
      </w:r>
      <w:r/>
    </w:p>
    <w:p>
      <w:pPr>
        <w:pStyle w:val="63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5.6. Не </w:t>
      </w:r>
      <w:r>
        <w:rPr>
          <w:rFonts w:ascii="Times New Roman" w:hAnsi="Times New Roman" w:cs="Times New Roman"/>
          <w:bCs/>
          <w:sz w:val="20"/>
          <w:szCs w:val="20"/>
        </w:rPr>
        <w:t xml:space="preserve">допускается превышение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предельно допустимых значений, указанных в технических характеристиках.</w:t>
      </w:r>
      <w:r/>
    </w:p>
    <w:p>
      <w:pPr>
        <w:pStyle w:val="63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5.7. Запрещается ремонт светильника потребителем. Срок службы изделия зависит от выполнения условий настоящего документа.</w:t>
      </w:r>
      <w:r/>
    </w:p>
    <w:p>
      <w:pPr>
        <w:pStyle w:val="638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Внимание!!! Все работы, связанные с подключением и монтажом светильника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должны,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производится только квалифицированными специалистами.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СВЕДЕНИЯ ОБ УТИЛИЗАЦИИ</w:t>
      </w:r>
      <w:r/>
    </w:p>
    <w:p>
      <w:pPr>
        <w:pStyle w:val="63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Выработавший свой срок сл</w:t>
      </w:r>
      <w:r>
        <w:rPr>
          <w:rFonts w:ascii="Times New Roman" w:hAnsi="Times New Roman" w:cs="Times New Roman"/>
          <w:sz w:val="20"/>
          <w:szCs w:val="20"/>
        </w:rPr>
        <w:t xml:space="preserve">ужбы светильник относится к отходам IV класса опасности (мало опасные). После окончания срока службы светильника его необходимо сдать в специализированную организацию, имеющую лицензию на право утилизации опасных отходов или отправить на завод-изготовитель</w:t>
      </w:r>
      <w:r/>
    </w:p>
    <w:p>
      <w:pPr>
        <w:pStyle w:val="63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ПРАВИЛА ХРАНЕНИЯ И ТРАНСПОРТИРОВКИ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</w:t>
      </w:r>
      <w:r>
        <w:rPr>
          <w:rFonts w:ascii="Times New Roman" w:hAnsi="Times New Roman" w:cs="Times New Roman"/>
          <w:sz w:val="20"/>
          <w:szCs w:val="20"/>
        </w:rPr>
        <w:t xml:space="preserve">Светильник поставляется упакованным в коробку из гофрокартона. 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</w:t>
      </w:r>
      <w:r>
        <w:rPr>
          <w:rFonts w:ascii="Times New Roman" w:hAnsi="Times New Roman" w:cs="Times New Roman"/>
          <w:sz w:val="20"/>
          <w:szCs w:val="20"/>
        </w:rPr>
        <w:t xml:space="preserve">Светильник транспортируется всеми видами крытого транспорта в соответствии с правилами, действующими на каждом используемом виде транспорта. 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</w:t>
      </w:r>
      <w:r>
        <w:rPr>
          <w:rFonts w:ascii="Times New Roman" w:hAnsi="Times New Roman" w:cs="Times New Roman"/>
          <w:sz w:val="20"/>
          <w:szCs w:val="20"/>
        </w:rPr>
        <w:t xml:space="preserve">3.</w:t>
      </w:r>
      <w:r>
        <w:rPr>
          <w:rFonts w:ascii="Times New Roman" w:hAnsi="Times New Roman" w:cs="Times New Roman"/>
          <w:sz w:val="20"/>
          <w:szCs w:val="20"/>
        </w:rPr>
        <w:t xml:space="preserve"> Условия</w:t>
      </w:r>
      <w:r>
        <w:rPr>
          <w:rFonts w:ascii="Times New Roman" w:hAnsi="Times New Roman" w:cs="Times New Roman"/>
          <w:sz w:val="20"/>
          <w:szCs w:val="20"/>
        </w:rPr>
        <w:t xml:space="preserve"> транспортирования в части воздействия механических факторов должны соответствовать условиям по ГОСТ 23216. 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</w:t>
      </w:r>
      <w:r>
        <w:rPr>
          <w:rFonts w:ascii="Times New Roman" w:hAnsi="Times New Roman" w:cs="Times New Roman"/>
          <w:sz w:val="20"/>
          <w:szCs w:val="20"/>
        </w:rPr>
        <w:t xml:space="preserve">4.</w:t>
      </w:r>
      <w:r>
        <w:rPr>
          <w:rFonts w:ascii="Times New Roman" w:hAnsi="Times New Roman" w:cs="Times New Roman"/>
          <w:sz w:val="20"/>
          <w:szCs w:val="20"/>
        </w:rPr>
        <w:t xml:space="preserve"> Условия</w:t>
      </w:r>
      <w:r>
        <w:rPr>
          <w:rFonts w:ascii="Times New Roman" w:hAnsi="Times New Roman" w:cs="Times New Roman"/>
          <w:sz w:val="20"/>
          <w:szCs w:val="20"/>
        </w:rPr>
        <w:t xml:space="preserve"> транспортирования в части воздействия климатических факторов должны соответствовать условиям хранения 5 по ГОСТ 15150.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7.5.</w:t>
      </w:r>
      <w:r>
        <w:rPr>
          <w:rFonts w:ascii="Times New Roman" w:hAnsi="Times New Roman" w:cs="Times New Roman"/>
          <w:sz w:val="20"/>
          <w:szCs w:val="20"/>
        </w:rPr>
        <w:t xml:space="preserve"> Сроки транспортирования должны входить в общий срок службы </w:t>
      </w:r>
      <w:r>
        <w:rPr>
          <w:rFonts w:ascii="Times New Roman" w:hAnsi="Times New Roman" w:cs="Times New Roman"/>
          <w:sz w:val="20"/>
          <w:szCs w:val="20"/>
        </w:rPr>
        <w:t xml:space="preserve">светильников (</w:t>
      </w:r>
      <w:r>
        <w:rPr>
          <w:rFonts w:ascii="Times New Roman" w:hAnsi="Times New Roman" w:cs="Times New Roman"/>
          <w:sz w:val="20"/>
          <w:szCs w:val="20"/>
        </w:rPr>
        <w:t xml:space="preserve">не более 3 месяцев). 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</w:t>
      </w:r>
      <w:r>
        <w:rPr>
          <w:rFonts w:ascii="Times New Roman" w:hAnsi="Times New Roman" w:cs="Times New Roman"/>
          <w:sz w:val="20"/>
          <w:szCs w:val="20"/>
        </w:rPr>
        <w:t xml:space="preserve">Условия хранения светильника в упаковке изготовителя в части воздействия климатических факторов должны соответствовать условиям хранения 2 по ГОСТ 15150 и ГОСТ 23216.</w:t>
      </w:r>
      <w:r/>
    </w:p>
    <w:p>
      <w:pPr>
        <w:pStyle w:val="63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7.7.</w:t>
      </w:r>
      <w:r>
        <w:rPr>
          <w:rFonts w:ascii="Times New Roman" w:hAnsi="Times New Roman" w:cs="Times New Roman"/>
          <w:sz w:val="20"/>
          <w:szCs w:val="20"/>
        </w:rPr>
        <w:t xml:space="preserve"> Срок хранения светильника в упаковке изготовителя до ввода в эксплуатацию не более 12 месяцев в пределах общего срока службы.</w:t>
      </w:r>
      <w:r/>
    </w:p>
    <w:p>
      <w:pPr>
        <w:pStyle w:val="63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.ГАРАНТИЙНЫЕ ОБЯ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ЗАТЕЛЬСТВА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</w:t>
      </w:r>
      <w:r>
        <w:rPr>
          <w:rFonts w:ascii="Times New Roman" w:hAnsi="Times New Roman" w:cs="Times New Roman"/>
          <w:sz w:val="20"/>
          <w:szCs w:val="20"/>
        </w:rPr>
        <w:t xml:space="preserve">1.</w:t>
      </w:r>
      <w:r>
        <w:rPr>
          <w:rFonts w:ascii="Times New Roman" w:hAnsi="Times New Roman" w:cs="Times New Roman"/>
          <w:sz w:val="20"/>
          <w:szCs w:val="20"/>
        </w:rPr>
        <w:t xml:space="preserve"> Изготовитель</w:t>
      </w:r>
      <w:r>
        <w:rPr>
          <w:rFonts w:ascii="Times New Roman" w:hAnsi="Times New Roman" w:cs="Times New Roman"/>
          <w:sz w:val="20"/>
          <w:szCs w:val="20"/>
        </w:rPr>
        <w:t xml:space="preserve"> гарантирует соответствие светильника техническим характеристикам при соблюдении потребителем условий эксплуатации, транспортирования, хранения и монтажа.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8.2.</w:t>
      </w:r>
      <w:r>
        <w:rPr>
          <w:rFonts w:ascii="Times New Roman" w:hAnsi="Times New Roman" w:cs="Times New Roman"/>
          <w:sz w:val="20"/>
          <w:szCs w:val="20"/>
        </w:rPr>
        <w:t xml:space="preserve"> Гарантийный срок светильника составляет - 5 лет со дня даты продажи, а в случае невозможности ее установления - с даты отгрузки покупателю.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8.3.</w:t>
      </w:r>
      <w:r>
        <w:rPr>
          <w:rFonts w:ascii="Times New Roman" w:hAnsi="Times New Roman" w:cs="Times New Roman"/>
          <w:sz w:val="20"/>
          <w:szCs w:val="20"/>
        </w:rPr>
        <w:t xml:space="preserve"> Производителем сроки гарантии могут быть увеличены.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8.4.</w:t>
      </w:r>
      <w:r>
        <w:rPr>
          <w:rFonts w:ascii="Times New Roman" w:hAnsi="Times New Roman" w:cs="Times New Roman"/>
          <w:sz w:val="20"/>
          <w:szCs w:val="20"/>
        </w:rPr>
        <w:t xml:space="preserve"> Бесплатный ремонт, замена </w:t>
      </w:r>
      <w:r>
        <w:rPr>
          <w:rFonts w:ascii="Times New Roman" w:hAnsi="Times New Roman" w:cs="Times New Roman"/>
          <w:sz w:val="20"/>
          <w:szCs w:val="20"/>
        </w:rPr>
        <w:t xml:space="preserve">светильника (</w:t>
      </w:r>
      <w:r>
        <w:rPr>
          <w:rFonts w:ascii="Times New Roman" w:hAnsi="Times New Roman" w:cs="Times New Roman"/>
          <w:sz w:val="20"/>
          <w:szCs w:val="20"/>
        </w:rPr>
        <w:t xml:space="preserve">или его частей) в случае его неисправности в течении гарантийного срока осуществляется заводом-изготовителем при условии соблюдения потребителем условий транспортирования, хранения, монтажа и эксплуатации.</w:t>
      </w:r>
      <w:r/>
    </w:p>
    <w:p>
      <w:pPr>
        <w:pStyle w:val="63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8.5</w:t>
      </w:r>
      <w:r>
        <w:rPr>
          <w:rFonts w:ascii="Times New Roman" w:hAnsi="Times New Roman" w:cs="Times New Roman"/>
          <w:b/>
          <w:sz w:val="20"/>
          <w:szCs w:val="20"/>
        </w:rPr>
        <w:t xml:space="preserve">. 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наклеек, пломб, паспорта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(копия) предприятия - изготовителя и упаковки.</w:t>
      </w:r>
      <w:r/>
    </w:p>
    <w:p>
      <w:pPr>
        <w:pStyle w:val="638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8.6.</w:t>
      </w:r>
      <w:r>
        <w:rPr>
          <w:rFonts w:ascii="Times New Roman" w:hAnsi="Times New Roman" w:cs="Times New Roman"/>
          <w:sz w:val="20"/>
          <w:szCs w:val="20"/>
        </w:rPr>
        <w:t xml:space="preserve"> Ремонт </w:t>
      </w:r>
      <w:r>
        <w:rPr>
          <w:rFonts w:ascii="Times New Roman" w:hAnsi="Times New Roman" w:cs="Times New Roman"/>
          <w:sz w:val="20"/>
          <w:szCs w:val="20"/>
        </w:rPr>
        <w:t xml:space="preserve">изделия (</w:t>
      </w:r>
      <w:r>
        <w:rPr>
          <w:rFonts w:ascii="Times New Roman" w:hAnsi="Times New Roman" w:cs="Times New Roman"/>
          <w:sz w:val="20"/>
          <w:szCs w:val="20"/>
        </w:rPr>
        <w:t xml:space="preserve">или его частей) осуществляет, непосредственно, завод-изготовитель или авторизованные СЦ (сервисный центр)</w:t>
      </w:r>
      <w:r>
        <w:rPr>
          <w:sz w:val="20"/>
          <w:szCs w:val="20"/>
        </w:rPr>
        <w:t xml:space="preserve">.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выпуска св</w:t>
      </w:r>
      <w:r>
        <w:rPr>
          <w:rFonts w:ascii="Times New Roman" w:hAnsi="Times New Roman" w:cs="Times New Roman"/>
          <w:sz w:val="20"/>
          <w:szCs w:val="20"/>
        </w:rPr>
        <w:t xml:space="preserve">етильника </w:t>
      </w:r>
      <w:r>
        <w:rPr>
          <w:rFonts w:ascii="Times New Roman" w:hAnsi="Times New Roman" w:cs="Times New Roman"/>
          <w:sz w:val="20"/>
          <w:szCs w:val="20"/>
        </w:rPr>
        <w:t xml:space="preserve">________________</w:t>
      </w:r>
      <w:r/>
    </w:p>
    <w:p>
      <w:pPr>
        <w:pStyle w:val="6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 </w:t>
      </w:r>
      <w:r/>
    </w:p>
    <w:p>
      <w:pPr>
        <w:pStyle w:val="63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63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Производитель: ООО «</w:t>
      </w:r>
      <w:r>
        <w:rPr>
          <w:rFonts w:ascii="Times New Roman" w:hAnsi="Times New Roman" w:cs="Times New Roman"/>
          <w:sz w:val="18"/>
          <w:szCs w:val="18"/>
        </w:rPr>
        <w:t xml:space="preserve">БСТЗ</w:t>
      </w:r>
      <w:r>
        <w:rPr>
          <w:rFonts w:ascii="Times New Roman" w:hAnsi="Times New Roman" w:cs="Times New Roman"/>
          <w:sz w:val="18"/>
          <w:szCs w:val="18"/>
        </w:rPr>
        <w:t xml:space="preserve">», 453431 Республика Башкортостан</w:t>
      </w:r>
      <w:r/>
    </w:p>
    <w:p>
      <w:pPr>
        <w:pStyle w:val="63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г. Благовещенск</w:t>
      </w:r>
      <w:r>
        <w:rPr>
          <w:rFonts w:ascii="Times New Roman" w:hAnsi="Times New Roman" w:cs="Times New Roman"/>
          <w:sz w:val="18"/>
          <w:szCs w:val="18"/>
        </w:rPr>
        <w:t xml:space="preserve"> ул. Ком</w:t>
      </w:r>
      <w:r>
        <w:rPr>
          <w:rFonts w:ascii="Times New Roman" w:hAnsi="Times New Roman" w:cs="Times New Roman"/>
          <w:sz w:val="18"/>
          <w:szCs w:val="18"/>
        </w:rPr>
        <w:t xml:space="preserve">мунистическая,12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/>
    </w:p>
    <w:p>
      <w:pPr>
        <w:jc w:val="both"/>
        <w:rPr>
          <w:rStyle w:val="645"/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ПОЧТА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:</w:t>
      </w:r>
      <w:hyperlink r:id="rId9" w:tooltip="mailto:info@bstz.ru" w:history="1">
        <w:r>
          <w:rPr>
            <w:rStyle w:val="645"/>
            <w:rFonts w:ascii="Times New Roman" w:hAnsi="Times New Roman" w:cs="Times New Roman"/>
            <w:sz w:val="23"/>
            <w:szCs w:val="23"/>
          </w:rPr>
          <w:t xml:space="preserve">info@</w:t>
        </w:r>
        <w:r>
          <w:rPr>
            <w:rStyle w:val="645"/>
            <w:rFonts w:ascii="Times New Roman" w:hAnsi="Times New Roman" w:cs="Times New Roman"/>
            <w:sz w:val="23"/>
            <w:szCs w:val="23"/>
            <w:lang w:val="en-US"/>
          </w:rPr>
          <w:t xml:space="preserve">bstz</w:t>
        </w:r>
        <w:r>
          <w:rPr>
            <w:rStyle w:val="645"/>
            <w:rFonts w:ascii="Times New Roman" w:hAnsi="Times New Roman" w:cs="Times New Roman"/>
            <w:sz w:val="23"/>
            <w:szCs w:val="23"/>
          </w:rPr>
          <w:t xml:space="preserve">.ru</w:t>
        </w:r>
      </w:hyperlink>
      <w:r/>
      <w:r/>
    </w:p>
    <w:p>
      <w:pPr>
        <w:jc w:val="both"/>
        <w:rPr>
          <w:rFonts w:ascii="Times New Roman" w:hAnsi="Times New Roman" w:cs="Times New Roman"/>
          <w:sz w:val="18"/>
          <w:szCs w:val="18"/>
          <w:highlight w:val="none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САЙТ: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WWW</w:t>
      </w: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BSTZLED</w:t>
      </w: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COM</w:t>
      </w:r>
      <w:r/>
    </w:p>
    <w:p>
      <w:pPr>
        <w:jc w:val="both"/>
        <w:rPr>
          <w:rStyle w:val="645"/>
          <w:rFonts w:ascii="Times New Roman" w:hAnsi="Times New Roman" w:cs="Times New Roman"/>
          <w:color w:val="auto"/>
          <w:sz w:val="18"/>
          <w:szCs w:val="18"/>
          <w:u w:val="none"/>
        </w:rPr>
      </w:pPr>
      <w:r>
        <w:rPr>
          <w:rFonts w:ascii="Times New Roman" w:hAnsi="Times New Roman" w:cs="Times New Roman"/>
          <w:sz w:val="18"/>
          <w:szCs w:val="18"/>
          <w:highlight w:val="none"/>
          <w:lang w:val="en-US"/>
        </w:rPr>
      </w:r>
      <w:r>
        <w:rPr>
          <w:rFonts w:ascii="Times New Roman" w:hAnsi="Times New Roman" w:cs="Times New Roman"/>
          <w:sz w:val="18"/>
          <w:szCs w:val="18"/>
          <w:highlight w:val="none"/>
          <w:lang w:val="en-US"/>
        </w:rPr>
      </w:r>
    </w:p>
    <w:p>
      <w:pPr>
        <w:jc w:val="both"/>
        <w:rPr>
          <w:rStyle w:val="645"/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43450" cy="2133600"/>
                <wp:effectExtent l="0" t="0" r="0" b="0"/>
                <wp:docPr id="1" name="Рисунок 4" descr="E:\БСТЗ\Лого\бстз лого паспорт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:\БСТЗ\Лого\бстз лого паспорта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743450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3.5pt;height:168.0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ИЗДЕЛИЯ</w:t>
      </w:r>
      <w:r/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СВЕТОДИОДНЫЙ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ПРОМЫШЛЕННЫЙ</w:t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Серии: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Модель: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БСТЗ </w:t>
      </w:r>
      <w:r>
        <w:rPr>
          <w:rFonts w:ascii="Times New Roman" w:hAnsi="Times New Roman" w:cs="Times New Roman"/>
          <w:sz w:val="28"/>
          <w:szCs w:val="28"/>
        </w:rPr>
        <w:t xml:space="preserve">ДСП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-50/80/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/120/150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57525" cy="1720267"/>
                <wp:effectExtent l="0" t="0" r="0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SC0330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058488" cy="172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40.8pt;height:135.5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bookmarkEnd w:id="0"/>
      <w:r/>
      <w:r/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ТУ </w:t>
      </w:r>
      <w:bookmarkStart w:id="1" w:name="_Hlk93404808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27.40-001-БСТМ7956-2022</w:t>
      </w:r>
      <w:bookmarkEnd w:id="1"/>
      <w:r/>
      <w:r/>
    </w:p>
    <w:sectPr>
      <w:footnotePr/>
      <w:endnotePr/>
      <w:type w:val="nextPage"/>
      <w:pgSz w:w="16838" w:h="11906" w:orient="landscape"/>
      <w:pgMar w:top="720" w:right="720" w:bottom="720" w:left="720" w:header="709" w:footer="709" w:gutter="0"/>
      <w:pgBorders w:display="allPages" w:offsetFrom="page" w:zOrder="front">
        <w:bottom w:color="auto" w:space="24" w:sz="4" w:val="single"/>
        <w:left w:color="auto" w:space="24" w:sz="4" w:val="single"/>
        <w:right w:color="auto" w:space="24" w:sz="4" w:val="single"/>
        <w:top w:color="auto" w:space="24" w:sz="4" w:val="single"/>
      </w:pgBorders>
      <w:cols w:num="2" w:sep="0" w:space="454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5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5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35"/>
    <w:link w:val="647"/>
    <w:uiPriority w:val="99"/>
  </w:style>
  <w:style w:type="character" w:styleId="44">
    <w:name w:val="Footer Char"/>
    <w:basedOn w:val="635"/>
    <w:link w:val="649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49"/>
    <w:uiPriority w:val="99"/>
  </w:style>
  <w:style w:type="table" w:styleId="48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5"/>
    <w:uiPriority w:val="99"/>
    <w:unhideWhenUsed/>
    <w:rPr>
      <w:vertAlign w:val="superscript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5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639">
    <w:name w:val="Balloon Text"/>
    <w:basedOn w:val="634"/>
    <w:link w:val="6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0" w:customStyle="1">
    <w:name w:val="Текст выноски Знак"/>
    <w:basedOn w:val="635"/>
    <w:link w:val="639"/>
    <w:uiPriority w:val="99"/>
    <w:semiHidden/>
    <w:rPr>
      <w:rFonts w:ascii="Tahoma" w:hAnsi="Tahoma" w:cs="Tahoma"/>
      <w:sz w:val="16"/>
      <w:szCs w:val="16"/>
    </w:rPr>
  </w:style>
  <w:style w:type="table" w:styleId="641">
    <w:name w:val="Table Grid"/>
    <w:basedOn w:val="6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42" w:customStyle="1">
    <w:name w:val="Светлый список1"/>
    <w:basedOn w:val="636"/>
    <w:uiPriority w:val="61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styleId="643" w:customStyle="1">
    <w:name w:val="username"/>
    <w:basedOn w:val="635"/>
  </w:style>
  <w:style w:type="character" w:styleId="644" w:customStyle="1">
    <w:name w:val="username__first-letter"/>
    <w:basedOn w:val="635"/>
  </w:style>
  <w:style w:type="character" w:styleId="645">
    <w:name w:val="Hyperlink"/>
    <w:basedOn w:val="635"/>
    <w:uiPriority w:val="99"/>
    <w:unhideWhenUsed/>
    <w:rPr>
      <w:color w:val="0000ff" w:themeColor="hyperlink"/>
      <w:u w:val="single"/>
    </w:rPr>
  </w:style>
  <w:style w:type="character" w:styleId="646" w:customStyle="1">
    <w:name w:val="apple-converted-space"/>
    <w:basedOn w:val="635"/>
  </w:style>
  <w:style w:type="paragraph" w:styleId="647">
    <w:name w:val="Header"/>
    <w:basedOn w:val="634"/>
    <w:link w:val="6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8" w:customStyle="1">
    <w:name w:val="Верхний колонтитул Знак"/>
    <w:basedOn w:val="635"/>
    <w:link w:val="647"/>
    <w:uiPriority w:val="99"/>
  </w:style>
  <w:style w:type="paragraph" w:styleId="649">
    <w:name w:val="Footer"/>
    <w:basedOn w:val="634"/>
    <w:link w:val="6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0" w:customStyle="1">
    <w:name w:val="Нижний колонтитул Знак"/>
    <w:basedOn w:val="635"/>
    <w:link w:val="649"/>
    <w:uiPriority w:val="99"/>
  </w:style>
  <w:style w:type="character" w:styleId="651">
    <w:name w:val="FollowedHyperlink"/>
    <w:basedOn w:val="635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bstz.ru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DFBCD-62B6-4960-B1DA-86B8C39B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Максим Мачульский</cp:lastModifiedBy>
  <cp:revision>3</cp:revision>
  <dcterms:created xsi:type="dcterms:W3CDTF">2023-04-18T12:19:00Z</dcterms:created>
  <dcterms:modified xsi:type="dcterms:W3CDTF">2023-05-08T05:32:14Z</dcterms:modified>
</cp:coreProperties>
</file>